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D2" w:rsidRPr="00D174D9" w:rsidRDefault="003A77D2" w:rsidP="003A77D2">
      <w:pPr>
        <w:pStyle w:val="1"/>
        <w:jc w:val="center"/>
        <w:rPr>
          <w:rFonts w:eastAsia="华文中宋"/>
          <w:bCs/>
          <w:kern w:val="2"/>
          <w:sz w:val="36"/>
          <w:szCs w:val="36"/>
        </w:rPr>
      </w:pPr>
      <w:r w:rsidRPr="00D174D9">
        <w:rPr>
          <w:rFonts w:eastAsia="华文中宋" w:hint="eastAsia"/>
          <w:bCs/>
          <w:kern w:val="2"/>
          <w:sz w:val="36"/>
          <w:szCs w:val="36"/>
        </w:rPr>
        <w:t>妇女在会中要闭口不言吗？</w:t>
      </w:r>
      <w:r>
        <w:rPr>
          <w:rStyle w:val="a6"/>
          <w:rFonts w:eastAsia="华文中宋"/>
          <w:bCs/>
          <w:kern w:val="2"/>
          <w:sz w:val="36"/>
          <w:szCs w:val="36"/>
        </w:rPr>
        <w:footnoteReference w:id="1"/>
      </w:r>
    </w:p>
    <w:p w:rsidR="003A77D2" w:rsidRPr="00D174D9" w:rsidRDefault="003A77D2" w:rsidP="003A77D2">
      <w:pPr>
        <w:pStyle w:val="ab"/>
      </w:pPr>
      <w:r w:rsidRPr="00D174D9">
        <w:rPr>
          <w:rFonts w:hint="eastAsia"/>
        </w:rPr>
        <w:t>文/凯文·德扬（</w:t>
      </w:r>
      <w:r w:rsidRPr="009761DC">
        <w:rPr>
          <w:rFonts w:ascii="Times New Roman" w:hint="eastAsia"/>
        </w:rPr>
        <w:t xml:space="preserve">Kevin </w:t>
      </w:r>
      <w:proofErr w:type="spellStart"/>
      <w:r w:rsidRPr="009761DC">
        <w:rPr>
          <w:rFonts w:ascii="Times New Roman" w:hint="eastAsia"/>
        </w:rPr>
        <w:t>DeYoung</w:t>
      </w:r>
      <w:proofErr w:type="spellEnd"/>
      <w:r w:rsidRPr="00D174D9">
        <w:rPr>
          <w:rFonts w:hint="eastAsia"/>
        </w:rPr>
        <w:t>）译/贾思茗</w:t>
      </w:r>
    </w:p>
    <w:p w:rsidR="003A77D2" w:rsidRPr="00D174D9" w:rsidRDefault="003A77D2" w:rsidP="003A77D2">
      <w:pPr>
        <w:pStyle w:val="a7"/>
      </w:pPr>
    </w:p>
    <w:p w:rsidR="003A77D2" w:rsidRPr="00D174D9" w:rsidRDefault="003A77D2" w:rsidP="003A77D2">
      <w:pPr>
        <w:pStyle w:val="a7"/>
      </w:pPr>
      <w:r w:rsidRPr="00D174D9">
        <w:rPr>
          <w:rFonts w:hint="eastAsia"/>
        </w:rPr>
        <w:t>妇女在会中要闭口不言……因为不准她们说话。她们总要顺服，正如律法所说的。（林前</w:t>
      </w:r>
      <w:r w:rsidRPr="00D174D9">
        <w:t xml:space="preserve"> 14:34</w:t>
      </w:r>
      <w:r w:rsidRPr="00D174D9">
        <w:t>）</w:t>
      </w:r>
    </w:p>
    <w:p w:rsidR="003A77D2" w:rsidRPr="00D174D9" w:rsidRDefault="003A77D2" w:rsidP="003A77D2">
      <w:pPr>
        <w:pStyle w:val="a7"/>
      </w:pPr>
    </w:p>
    <w:p w:rsidR="003A77D2" w:rsidRPr="00D174D9" w:rsidRDefault="003A77D2" w:rsidP="003A77D2">
      <w:pPr>
        <w:pStyle w:val="a7"/>
      </w:pPr>
      <w:proofErr w:type="gramStart"/>
      <w:r w:rsidRPr="00D174D9">
        <w:rPr>
          <w:rFonts w:hint="eastAsia"/>
        </w:rPr>
        <w:t>凡女人</w:t>
      </w:r>
      <w:proofErr w:type="gramEnd"/>
      <w:r w:rsidRPr="00D174D9">
        <w:rPr>
          <w:rFonts w:hint="eastAsia"/>
        </w:rPr>
        <w:t>祷告或是讲道，若不蒙着头，就羞辱自己的头……（林前</w:t>
      </w:r>
      <w:r w:rsidRPr="00D174D9">
        <w:rPr>
          <w:rFonts w:hint="eastAsia"/>
        </w:rPr>
        <w:t>1</w:t>
      </w:r>
      <w:r w:rsidRPr="00D174D9">
        <w:t>1:5</w:t>
      </w:r>
      <w:r w:rsidRPr="00D174D9">
        <w:rPr>
          <w:rFonts w:hint="eastAsia"/>
        </w:rPr>
        <w:t>）</w:t>
      </w:r>
    </w:p>
    <w:p w:rsidR="003A77D2" w:rsidRPr="00D174D9" w:rsidRDefault="003A77D2" w:rsidP="003A77D2"/>
    <w:p w:rsidR="003A77D2" w:rsidRPr="00D174D9" w:rsidRDefault="003A77D2" w:rsidP="003A77D2">
      <w:r w:rsidRPr="00D174D9">
        <w:rPr>
          <w:rFonts w:hint="eastAsia"/>
        </w:rPr>
        <w:t>在哥林多前书</w:t>
      </w:r>
      <w:r w:rsidRPr="00D174D9">
        <w:rPr>
          <w:rFonts w:hint="eastAsia"/>
        </w:rPr>
        <w:t>1</w:t>
      </w:r>
      <w:r w:rsidRPr="00D174D9">
        <w:t>4</w:t>
      </w:r>
      <w:r w:rsidRPr="00D174D9">
        <w:rPr>
          <w:rFonts w:hint="eastAsia"/>
        </w:rPr>
        <w:t>章，保罗要求女性在聚会中要闭口不言，但在</w:t>
      </w:r>
      <w:r w:rsidRPr="00D174D9">
        <w:rPr>
          <w:rFonts w:hint="eastAsia"/>
        </w:rPr>
        <w:t>1</w:t>
      </w:r>
      <w:r w:rsidRPr="00D174D9">
        <w:t>1</w:t>
      </w:r>
      <w:r w:rsidRPr="00D174D9">
        <w:rPr>
          <w:rFonts w:hint="eastAsia"/>
        </w:rPr>
        <w:t>章，他却规定了女性在会中要如何祷告和说预言。那么，保罗真正的意思是什么呢？妇女在会中要闭口不言吗？</w:t>
      </w:r>
    </w:p>
    <w:p w:rsidR="003A77D2" w:rsidRPr="00D174D9" w:rsidRDefault="003A77D2" w:rsidP="003A77D2"/>
    <w:p w:rsidR="003A77D2" w:rsidRPr="00D174D9" w:rsidRDefault="003A77D2" w:rsidP="003A77D2">
      <w:r w:rsidRPr="00D174D9">
        <w:rPr>
          <w:rFonts w:hint="eastAsia"/>
        </w:rPr>
        <w:t>在哥林多前书</w:t>
      </w:r>
      <w:r w:rsidRPr="00D174D9">
        <w:rPr>
          <w:rFonts w:hint="eastAsia"/>
        </w:rPr>
        <w:t>1</w:t>
      </w:r>
      <w:r w:rsidRPr="00D174D9">
        <w:t>1</w:t>
      </w:r>
      <w:r w:rsidRPr="00D174D9">
        <w:rPr>
          <w:rFonts w:hint="eastAsia"/>
        </w:rPr>
        <w:t>:</w:t>
      </w:r>
      <w:r w:rsidRPr="00D174D9">
        <w:t>2-16</w:t>
      </w:r>
      <w:r w:rsidRPr="00D174D9">
        <w:rPr>
          <w:rFonts w:hint="eastAsia"/>
        </w:rPr>
        <w:t>中，保罗认为，若带有恰当的记号，女性便可以在教会中祷告和说预言</w:t>
      </w:r>
      <w:r w:rsidRPr="00D174D9">
        <w:t>。接下来</w:t>
      </w:r>
      <w:r w:rsidRPr="00D174D9">
        <w:rPr>
          <w:rFonts w:hint="eastAsia"/>
        </w:rPr>
        <w:t>，在</w:t>
      </w:r>
      <w:r w:rsidRPr="00D174D9">
        <w:rPr>
          <w:rFonts w:hint="eastAsia"/>
        </w:rPr>
        <w:t>1</w:t>
      </w:r>
      <w:r w:rsidRPr="00D174D9">
        <w:t>1</w:t>
      </w:r>
      <w:r w:rsidRPr="00D174D9">
        <w:rPr>
          <w:rFonts w:hint="eastAsia"/>
        </w:rPr>
        <w:t>章余下的部分</w:t>
      </w:r>
      <w:r w:rsidRPr="00D174D9">
        <w:t>，保</w:t>
      </w:r>
      <w:r w:rsidRPr="00D174D9">
        <w:rPr>
          <w:rFonts w:hint="eastAsia"/>
        </w:rPr>
        <w:t>罗作了有关圣餐的教导。在</w:t>
      </w:r>
      <w:r w:rsidRPr="00D174D9">
        <w:rPr>
          <w:rFonts w:hint="eastAsia"/>
        </w:rPr>
        <w:t>1</w:t>
      </w:r>
      <w:r w:rsidRPr="00D174D9">
        <w:t>2</w:t>
      </w:r>
      <w:r w:rsidRPr="00D174D9">
        <w:rPr>
          <w:rFonts w:hint="eastAsia"/>
        </w:rPr>
        <w:t>章和</w:t>
      </w:r>
      <w:r w:rsidRPr="00D174D9">
        <w:rPr>
          <w:rFonts w:hint="eastAsia"/>
        </w:rPr>
        <w:t>1</w:t>
      </w:r>
      <w:r w:rsidRPr="00D174D9">
        <w:t>4</w:t>
      </w:r>
      <w:r w:rsidRPr="00D174D9">
        <w:rPr>
          <w:rFonts w:hint="eastAsia"/>
        </w:rPr>
        <w:t>章中，他作了有关在公共场合恰当</w:t>
      </w:r>
      <w:proofErr w:type="gramStart"/>
      <w:r w:rsidRPr="00D174D9">
        <w:rPr>
          <w:rFonts w:hint="eastAsia"/>
        </w:rPr>
        <w:t>使用属灵恩赐</w:t>
      </w:r>
      <w:proofErr w:type="gramEnd"/>
      <w:r w:rsidRPr="00D174D9">
        <w:rPr>
          <w:rFonts w:hint="eastAsia"/>
        </w:rPr>
        <w:t>的教导。这清楚地表明，保罗</w:t>
      </w:r>
      <w:bookmarkStart w:id="0" w:name="_Hlk127281639"/>
      <w:r w:rsidRPr="00D174D9">
        <w:rPr>
          <w:rFonts w:hint="eastAsia"/>
        </w:rPr>
        <w:t>在这几章经文中提到的是公共崇拜</w:t>
      </w:r>
      <w:r w:rsidRPr="00D174D9">
        <w:t>聚会</w:t>
      </w:r>
      <w:bookmarkEnd w:id="0"/>
      <w:r w:rsidRPr="00D174D9">
        <w:t>。</w:t>
      </w:r>
      <w:r w:rsidRPr="00D174D9">
        <w:t>11</w:t>
      </w:r>
      <w:r w:rsidRPr="00D174D9">
        <w:rPr>
          <w:rFonts w:hint="eastAsia"/>
        </w:rPr>
        <w:t>章的内容让我们看到，</w:t>
      </w:r>
      <w:r w:rsidRPr="00D174D9">
        <w:t>在哥林多教会的</w:t>
      </w:r>
      <w:r w:rsidRPr="00D174D9">
        <w:rPr>
          <w:rFonts w:hint="eastAsia"/>
        </w:rPr>
        <w:t>崇拜中，女性并非完全是闭口不言的。但在</w:t>
      </w:r>
      <w:r w:rsidRPr="00D174D9">
        <w:rPr>
          <w:rFonts w:hint="eastAsia"/>
        </w:rPr>
        <w:t>1</w:t>
      </w:r>
      <w:r w:rsidRPr="00D174D9">
        <w:t>4</w:t>
      </w:r>
      <w:r w:rsidRPr="00D174D9">
        <w:rPr>
          <w:rFonts w:hint="eastAsia"/>
        </w:rPr>
        <w:t>章中，保罗却说：“妇女在会中要闭口不言。”究竟应当怎样呢？究竟是女性可以祷告和说预言，还是女性必须闭口不言？</w:t>
      </w:r>
      <w:r w:rsidRPr="00D174D9">
        <w:rPr>
          <w:rStyle w:val="a6"/>
        </w:rPr>
        <w:footnoteReference w:id="2"/>
      </w:r>
    </w:p>
    <w:p w:rsidR="003A77D2" w:rsidRPr="00D174D9" w:rsidRDefault="003A77D2" w:rsidP="003A77D2"/>
    <w:p w:rsidR="003A77D2" w:rsidRPr="00D174D9" w:rsidRDefault="003A77D2" w:rsidP="003A77D2">
      <w:r w:rsidRPr="00D174D9">
        <w:rPr>
          <w:rFonts w:hint="eastAsia"/>
        </w:rPr>
        <w:t>一些人为了解决这里的困境，将保罗的教导轻看成是陷入了无望的自相矛盾。另一些人则将哥林多前书</w:t>
      </w:r>
      <w:r w:rsidRPr="00D174D9">
        <w:rPr>
          <w:rFonts w:hint="eastAsia"/>
        </w:rPr>
        <w:t>1</w:t>
      </w:r>
      <w:r w:rsidRPr="00D174D9">
        <w:t>1</w:t>
      </w:r>
      <w:r w:rsidRPr="00D174D9">
        <w:rPr>
          <w:rFonts w:hint="eastAsia"/>
        </w:rPr>
        <w:t>章视为一些假定的教导：假设女性可以祷告和说预言，她们应当有怎样的装束，但是祷告和说预言显然都是女性不可以做的事。还有一些人认为，保罗在这两章中</w:t>
      </w:r>
      <w:proofErr w:type="gramStart"/>
      <w:r w:rsidRPr="00D174D9">
        <w:rPr>
          <w:rFonts w:hint="eastAsia"/>
        </w:rPr>
        <w:t>应对着</w:t>
      </w:r>
      <w:proofErr w:type="gramEnd"/>
      <w:r w:rsidRPr="00D174D9">
        <w:rPr>
          <w:rFonts w:hint="eastAsia"/>
        </w:rPr>
        <w:t>不同的语境——</w:t>
      </w:r>
      <w:r w:rsidRPr="00D174D9">
        <w:rPr>
          <w:rFonts w:hint="eastAsia"/>
        </w:rPr>
        <w:t>1</w:t>
      </w:r>
      <w:r w:rsidRPr="00D174D9">
        <w:t>1</w:t>
      </w:r>
      <w:r w:rsidRPr="00D174D9">
        <w:rPr>
          <w:rFonts w:hint="eastAsia"/>
        </w:rPr>
        <w:t>章应对的是非正式的聚会：在这里，女性可以说话；而</w:t>
      </w:r>
      <w:r w:rsidRPr="00D174D9">
        <w:rPr>
          <w:rFonts w:hint="eastAsia"/>
        </w:rPr>
        <w:t>1</w:t>
      </w:r>
      <w:r w:rsidRPr="00D174D9">
        <w:t>4</w:t>
      </w:r>
      <w:r w:rsidRPr="00D174D9">
        <w:rPr>
          <w:rFonts w:hint="eastAsia"/>
        </w:rPr>
        <w:t>章应对的是更加正式的教会聚会：在这里，女性必须闭口不言。然而还有一些人觉得，保罗在哥林多前书</w:t>
      </w:r>
      <w:r w:rsidRPr="00D174D9">
        <w:rPr>
          <w:rFonts w:hint="eastAsia"/>
        </w:rPr>
        <w:t>1</w:t>
      </w:r>
      <w:r w:rsidRPr="00D174D9">
        <w:t>4</w:t>
      </w:r>
      <w:r w:rsidRPr="00D174D9">
        <w:rPr>
          <w:rFonts w:hint="eastAsia"/>
        </w:rPr>
        <w:t>章中只是用了夸张的手法，因为他对唠叨的哥林多妇女已“忍无可忍”了。</w:t>
      </w:r>
    </w:p>
    <w:p w:rsidR="003A77D2" w:rsidRPr="00D174D9" w:rsidRDefault="003A77D2" w:rsidP="003A77D2"/>
    <w:p w:rsidR="003A77D2" w:rsidRPr="00D174D9" w:rsidRDefault="003A77D2" w:rsidP="003A77D2">
      <w:r w:rsidRPr="00D174D9">
        <w:rPr>
          <w:rFonts w:hint="eastAsia"/>
        </w:rPr>
        <w:t>我想要提出另一种观点，一种并不完全的、只有我持有的观点：保罗允许女性说预言，但不允许女性对预言</w:t>
      </w:r>
      <w:proofErr w:type="gramStart"/>
      <w:r w:rsidRPr="00D174D9">
        <w:rPr>
          <w:rFonts w:hint="eastAsia"/>
        </w:rPr>
        <w:t>作出</w:t>
      </w:r>
      <w:proofErr w:type="gramEnd"/>
      <w:r w:rsidRPr="00D174D9">
        <w:rPr>
          <w:rFonts w:hint="eastAsia"/>
        </w:rPr>
        <w:t>评估。</w:t>
      </w:r>
    </w:p>
    <w:p w:rsidR="003A77D2" w:rsidRPr="00D174D9" w:rsidRDefault="003A77D2" w:rsidP="003A77D2"/>
    <w:p w:rsidR="003A77D2" w:rsidRPr="00D174D9" w:rsidRDefault="003A77D2" w:rsidP="003A77D2">
      <w:r w:rsidRPr="00D174D9">
        <w:rPr>
          <w:rFonts w:hint="eastAsia"/>
        </w:rPr>
        <w:t>新约时常谈到先知和预言（</w:t>
      </w:r>
      <w:proofErr w:type="gramStart"/>
      <w:r w:rsidRPr="00D174D9">
        <w:rPr>
          <w:rFonts w:hint="eastAsia"/>
        </w:rPr>
        <w:t>参徒</w:t>
      </w:r>
      <w:proofErr w:type="gramEnd"/>
      <w:r w:rsidRPr="00D174D9">
        <w:t>11:28</w:t>
      </w:r>
      <w:r w:rsidRPr="00D174D9">
        <w:t>，</w:t>
      </w:r>
      <w:r w:rsidRPr="00D174D9">
        <w:t>13:1-2</w:t>
      </w:r>
      <w:r w:rsidRPr="00D174D9">
        <w:t>，</w:t>
      </w:r>
      <w:r w:rsidRPr="00D174D9">
        <w:t>15:32</w:t>
      </w:r>
      <w:r w:rsidRPr="00D174D9">
        <w:t>；林</w:t>
      </w:r>
      <w:r w:rsidRPr="00D174D9">
        <w:rPr>
          <w:rFonts w:hint="eastAsia"/>
        </w:rPr>
        <w:t>前</w:t>
      </w:r>
      <w:r w:rsidRPr="00D174D9">
        <w:t>12:10</w:t>
      </w:r>
      <w:r w:rsidRPr="00D174D9">
        <w:t>，</w:t>
      </w:r>
      <w:r w:rsidRPr="00D174D9">
        <w:t>13:2</w:t>
      </w:r>
      <w:r w:rsidRPr="00D174D9">
        <w:t>，</w:t>
      </w:r>
      <w:r w:rsidRPr="00D174D9">
        <w:t>14:3</w:t>
      </w:r>
      <w:r w:rsidRPr="00D174D9">
        <w:t>；</w:t>
      </w:r>
      <w:proofErr w:type="gramStart"/>
      <w:r w:rsidRPr="00D174D9">
        <w:t>弗</w:t>
      </w:r>
      <w:proofErr w:type="gramEnd"/>
      <w:r w:rsidRPr="00D174D9">
        <w:t>2:20</w:t>
      </w:r>
      <w:r w:rsidRPr="00D174D9">
        <w:t>，</w:t>
      </w:r>
      <w:r w:rsidRPr="00D174D9">
        <w:t>3:5</w:t>
      </w:r>
      <w:r w:rsidRPr="00D174D9">
        <w:t>，</w:t>
      </w:r>
      <w:r w:rsidRPr="00D174D9">
        <w:t>4:11</w:t>
      </w:r>
      <w:r w:rsidRPr="00D174D9">
        <w:t>；提前</w:t>
      </w:r>
      <w:r w:rsidRPr="00D174D9">
        <w:t>1:18</w:t>
      </w:r>
      <w:r w:rsidRPr="00D174D9">
        <w:t>，</w:t>
      </w:r>
      <w:r w:rsidRPr="00D174D9">
        <w:t>4:14</w:t>
      </w:r>
      <w:r w:rsidRPr="00D174D9">
        <w:t>；启</w:t>
      </w:r>
      <w:r w:rsidRPr="00D174D9">
        <w:t>11:18</w:t>
      </w:r>
      <w:r w:rsidRPr="00D174D9">
        <w:t>）。如果你</w:t>
      </w:r>
      <w:proofErr w:type="gramStart"/>
      <w:r w:rsidRPr="00D174D9">
        <w:t>是属灵恩赐</w:t>
      </w:r>
      <w:proofErr w:type="gramEnd"/>
      <w:r w:rsidRPr="00D174D9">
        <w:rPr>
          <w:rFonts w:ascii="宋体" w:hAnsi="宋体"/>
        </w:rPr>
        <w:t>“持续派”</w:t>
      </w:r>
      <w:r w:rsidRPr="00D174D9">
        <w:t>（</w:t>
      </w:r>
      <w:proofErr w:type="spellStart"/>
      <w:r w:rsidRPr="00D174D9">
        <w:t>continuationist</w:t>
      </w:r>
      <w:proofErr w:type="spellEnd"/>
      <w:r w:rsidRPr="00D174D9">
        <w:t>），</w:t>
      </w:r>
      <w:r w:rsidRPr="00D174D9">
        <w:rPr>
          <w:rFonts w:hint="eastAsia"/>
        </w:rPr>
        <w:t>相信新约中所有圣灵的恩赐如今还在运作，那么你可能会相信新约中的预言显然有别于旧约中的预言。然而，如果你相信旧约中的预言和新约中的预言之间有连续性，但</w:t>
      </w:r>
      <w:r w:rsidRPr="00D174D9">
        <w:t>新约中一些圣</w:t>
      </w:r>
      <w:r w:rsidRPr="00D174D9">
        <w:rPr>
          <w:rFonts w:hint="eastAsia"/>
        </w:rPr>
        <w:t>灵的恩赐仅仅属于使徒时代，那么你多半是</w:t>
      </w:r>
      <w:proofErr w:type="gramStart"/>
      <w:r w:rsidRPr="00D174D9">
        <w:rPr>
          <w:rFonts w:hint="eastAsia"/>
        </w:rPr>
        <w:t>持属灵</w:t>
      </w:r>
      <w:proofErr w:type="gramEnd"/>
      <w:r w:rsidRPr="00D174D9">
        <w:rPr>
          <w:rFonts w:hint="eastAsia"/>
        </w:rPr>
        <w:t>恩赐“终止论”（</w:t>
      </w:r>
      <w:proofErr w:type="spellStart"/>
      <w:r w:rsidRPr="00D174D9">
        <w:t>cessationist</w:t>
      </w:r>
      <w:proofErr w:type="spellEnd"/>
      <w:r w:rsidRPr="00D174D9">
        <w:t>）</w:t>
      </w:r>
      <w:r w:rsidRPr="00D174D9">
        <w:rPr>
          <w:rFonts w:hint="eastAsia"/>
        </w:rPr>
        <w:t>。这两种观点都想要将如今在会众中的讲论和旧约中“这是耶和华说的”（如以赛亚书、尼希米记等）那种讲论拉开距离。</w:t>
      </w:r>
    </w:p>
    <w:p w:rsidR="003A77D2" w:rsidRPr="00D174D9" w:rsidRDefault="003A77D2" w:rsidP="003A77D2"/>
    <w:p w:rsidR="003A77D2" w:rsidRPr="00D174D9" w:rsidRDefault="003A77D2" w:rsidP="003A77D2">
      <w:r w:rsidRPr="00D174D9">
        <w:rPr>
          <w:rFonts w:hint="eastAsia"/>
        </w:rPr>
        <w:t>二者的不同之处在于：如今存在的这种讲论，究竟是另一种不同的预言，还是完全不同于预</w:t>
      </w:r>
      <w:r w:rsidRPr="00D174D9">
        <w:rPr>
          <w:rFonts w:hint="eastAsia"/>
        </w:rPr>
        <w:lastRenderedPageBreak/>
        <w:t>言的另一种传讲方式。如果说预言的情况已随着使徒们消失了，那么弄明白哥林多教会的女性是否被允许通过说预言来做什么，就没那么重要了。但即便采纳“终止论”的观点（这正是我持有的观点），哥林多前书</w:t>
      </w:r>
      <w:r w:rsidRPr="00D174D9">
        <w:rPr>
          <w:rFonts w:hint="eastAsia"/>
        </w:rPr>
        <w:t>1</w:t>
      </w:r>
      <w:r w:rsidRPr="00D174D9">
        <w:t>1</w:t>
      </w:r>
      <w:r w:rsidRPr="00D174D9">
        <w:rPr>
          <w:rFonts w:hint="eastAsia"/>
        </w:rPr>
        <w:t>章还谈到了女性的祷告。因此，关乎讲话（</w:t>
      </w:r>
      <w:r w:rsidRPr="00D174D9">
        <w:rPr>
          <w:rFonts w:hint="eastAsia"/>
        </w:rPr>
        <w:t>1</w:t>
      </w:r>
      <w:r w:rsidRPr="00D174D9">
        <w:t>1</w:t>
      </w:r>
      <w:r w:rsidRPr="00D174D9">
        <w:rPr>
          <w:rFonts w:hint="eastAsia"/>
        </w:rPr>
        <w:t>章）与闭口不言（</w:t>
      </w:r>
      <w:r w:rsidRPr="00D174D9">
        <w:rPr>
          <w:rFonts w:hint="eastAsia"/>
        </w:rPr>
        <w:t>1</w:t>
      </w:r>
      <w:r w:rsidRPr="00D174D9">
        <w:t>4</w:t>
      </w:r>
      <w:r w:rsidRPr="00D174D9">
        <w:rPr>
          <w:rFonts w:hint="eastAsia"/>
        </w:rPr>
        <w:t>章）的问题依旧有探讨的价值。</w:t>
      </w:r>
    </w:p>
    <w:p w:rsidR="003A77D2" w:rsidRPr="00D174D9" w:rsidRDefault="003A77D2" w:rsidP="003A77D2"/>
    <w:p w:rsidR="003A77D2" w:rsidRPr="00D174D9" w:rsidRDefault="003A77D2" w:rsidP="003A77D2">
      <w:r w:rsidRPr="00D174D9">
        <w:rPr>
          <w:rFonts w:hint="eastAsia"/>
        </w:rPr>
        <w:t>无论我们认为新约中的预言和旧约中的预言有何种关系，毫无疑问的是，</w:t>
      </w:r>
      <w:proofErr w:type="gramStart"/>
      <w:r w:rsidRPr="00D174D9">
        <w:rPr>
          <w:rFonts w:hint="eastAsia"/>
        </w:rPr>
        <w:t>初代教会</w:t>
      </w:r>
      <w:proofErr w:type="gramEnd"/>
      <w:r w:rsidRPr="00D174D9">
        <w:rPr>
          <w:rFonts w:hint="eastAsia"/>
        </w:rPr>
        <w:t>的教导和预言不是同一种讲论。在圣经中我们看到，长老并非必须有说预言的恩赐，但必须要善于教导（参提前</w:t>
      </w:r>
      <w:r w:rsidRPr="00D174D9">
        <w:t>3:2</w:t>
      </w:r>
      <w:r w:rsidRPr="00D174D9">
        <w:t>）。同样，历史上最初的牧者们可能是先知，也</w:t>
      </w:r>
      <w:r w:rsidRPr="00D174D9">
        <w:rPr>
          <w:rFonts w:hint="eastAsia"/>
        </w:rPr>
        <w:t>可能不是，但他们一定是教师（参提前</w:t>
      </w:r>
      <w:r w:rsidRPr="00D174D9">
        <w:t>4:11</w:t>
      </w:r>
      <w:r w:rsidRPr="00D174D9">
        <w:t>，</w:t>
      </w:r>
      <w:r w:rsidRPr="00D174D9">
        <w:t>5:17</w:t>
      </w:r>
      <w:r w:rsidRPr="00D174D9">
        <w:t>，</w:t>
      </w:r>
      <w:r w:rsidRPr="00D174D9">
        <w:t>6:12</w:t>
      </w:r>
      <w:r w:rsidRPr="00D174D9">
        <w:t>；提后</w:t>
      </w:r>
      <w:r w:rsidRPr="00D174D9">
        <w:t>2:2</w:t>
      </w:r>
      <w:r w:rsidRPr="00D174D9">
        <w:t>；多</w:t>
      </w:r>
      <w:r w:rsidRPr="00D174D9">
        <w:t>1:9</w:t>
      </w:r>
      <w:r w:rsidRPr="00D174D9">
        <w:t>，</w:t>
      </w:r>
      <w:r w:rsidRPr="00D174D9">
        <w:t>2:1-10</w:t>
      </w:r>
      <w:r w:rsidRPr="00D174D9">
        <w:t>）。教导</w:t>
      </w:r>
      <w:r w:rsidRPr="00D174D9">
        <w:rPr>
          <w:rFonts w:hint="eastAsia"/>
        </w:rPr>
        <w:t>是一种有别于预言的权威教训，</w:t>
      </w:r>
      <w:r w:rsidRPr="00D174D9">
        <w:t>传达使徒们的信息</w:t>
      </w:r>
      <w:r w:rsidRPr="00D174D9">
        <w:rPr>
          <w:rFonts w:hint="eastAsia"/>
        </w:rPr>
        <w:t>，</w:t>
      </w:r>
      <w:r w:rsidRPr="00D174D9">
        <w:t>同时也解释</w:t>
      </w:r>
      <w:r w:rsidRPr="00D174D9">
        <w:rPr>
          <w:rFonts w:hint="eastAsia"/>
        </w:rPr>
        <w:t>并运用圣经。</w:t>
      </w:r>
    </w:p>
    <w:p w:rsidR="003A77D2" w:rsidRPr="00D174D9" w:rsidRDefault="003A77D2" w:rsidP="003A77D2"/>
    <w:p w:rsidR="003A77D2" w:rsidRPr="00D174D9" w:rsidRDefault="003A77D2" w:rsidP="003A77D2">
      <w:r w:rsidRPr="00D174D9">
        <w:rPr>
          <w:rFonts w:hint="eastAsia"/>
        </w:rPr>
        <w:t>这并不意味着预言在教会中未曾扮演过重要的角色，或未曾传达过从神而来的启示，而是意味着预言必须经过评估和详细察验（参帖前</w:t>
      </w:r>
      <w:r w:rsidRPr="00D174D9">
        <w:t>5:20-21</w:t>
      </w:r>
      <w:r w:rsidRPr="00D174D9">
        <w:t>）。如果你认为新约预言是对无误真理</w:t>
      </w:r>
      <w:r w:rsidRPr="00D174D9">
        <w:rPr>
          <w:rFonts w:hint="eastAsia"/>
        </w:rPr>
        <w:t>的一种可能有误的传达，那么“评估”就是回应预言式传达中的要素之一。如果你认为新约预言近似于旧约预言（</w:t>
      </w:r>
      <w:proofErr w:type="gramStart"/>
      <w:r w:rsidRPr="00D174D9">
        <w:rPr>
          <w:rFonts w:hint="eastAsia"/>
        </w:rPr>
        <w:t>参徒</w:t>
      </w:r>
      <w:proofErr w:type="gramEnd"/>
      <w:r w:rsidRPr="00D174D9">
        <w:t>11:27-29</w:t>
      </w:r>
      <w:r w:rsidRPr="00D174D9">
        <w:t>，</w:t>
      </w:r>
      <w:r w:rsidRPr="00D174D9">
        <w:t>21:10-12</w:t>
      </w:r>
      <w:r w:rsidRPr="00D174D9">
        <w:t>；参见</w:t>
      </w:r>
      <w:r w:rsidRPr="00D174D9">
        <w:t>28:17</w:t>
      </w:r>
      <w:r w:rsidRPr="00D174D9">
        <w:t>），那么</w:t>
      </w:r>
      <w:r w:rsidRPr="00D174D9">
        <w:rPr>
          <w:rFonts w:ascii="宋体" w:hAnsi="宋体"/>
        </w:rPr>
        <w:t>“评估”</w:t>
      </w:r>
      <w:r w:rsidRPr="00D174D9">
        <w:t>就是在应对作为整</w:t>
      </w:r>
      <w:r w:rsidRPr="00D174D9">
        <w:rPr>
          <w:rFonts w:hint="eastAsia"/>
        </w:rPr>
        <w:t>体的真假预言，而非预言当中的真假要素。</w:t>
      </w:r>
    </w:p>
    <w:p w:rsidR="003A77D2" w:rsidRPr="00D174D9" w:rsidRDefault="003A77D2" w:rsidP="003A77D2"/>
    <w:p w:rsidR="003A77D2" w:rsidRPr="00D174D9" w:rsidRDefault="003A77D2" w:rsidP="003A77D2">
      <w:r w:rsidRPr="00D174D9">
        <w:rPr>
          <w:rFonts w:hint="eastAsia"/>
        </w:rPr>
        <w:t>无论持哪种观点，当今绝大多数的注释都认为，哥林多前书</w:t>
      </w:r>
      <w:r w:rsidRPr="00D174D9">
        <w:rPr>
          <w:rFonts w:hint="eastAsia"/>
        </w:rPr>
        <w:t>1</w:t>
      </w:r>
      <w:r w:rsidRPr="00D174D9">
        <w:t>4:34</w:t>
      </w:r>
      <w:r w:rsidRPr="00D174D9">
        <w:rPr>
          <w:rFonts w:hint="eastAsia"/>
        </w:rPr>
        <w:t>-</w:t>
      </w:r>
      <w:r w:rsidRPr="00D174D9">
        <w:t>35</w:t>
      </w:r>
      <w:proofErr w:type="gramStart"/>
      <w:r w:rsidRPr="00D174D9">
        <w:t>关乎</w:t>
      </w:r>
      <w:r w:rsidRPr="00D174D9">
        <w:rPr>
          <w:rFonts w:hint="eastAsia"/>
        </w:rPr>
        <w:t>着</w:t>
      </w:r>
      <w:proofErr w:type="gramEnd"/>
      <w:r w:rsidRPr="00D174D9">
        <w:rPr>
          <w:rFonts w:hint="eastAsia"/>
        </w:rPr>
        <w:t>详细察验先知的话；这种活动可能包括分析先知的生平以及反复察验先知的讲论和行为。</w:t>
      </w:r>
      <w:r w:rsidRPr="00D174D9">
        <w:rPr>
          <w:rStyle w:val="a6"/>
        </w:rPr>
        <w:footnoteReference w:id="3"/>
      </w:r>
      <w:r w:rsidRPr="00D174D9">
        <w:rPr>
          <w:rFonts w:hint="eastAsia"/>
        </w:rPr>
        <w:t>然而，</w:t>
      </w:r>
      <w:r w:rsidRPr="00D174D9">
        <w:t>这种活动是不允许女性参加</w:t>
      </w:r>
      <w:r w:rsidRPr="00D174D9">
        <w:rPr>
          <w:rFonts w:hint="eastAsia"/>
        </w:rPr>
        <w:t>的，但女性完全可以询问自己的丈夫或别人的丈夫。妻子若是要求丈夫在预言的问题上顺服她的判断，那她也就不太可能顺服丈夫了。所以，保罗是在这种语境下禁止女性讲话，但鼓励妻子在家里向丈夫询问自己正在探究的问题。</w:t>
      </w:r>
    </w:p>
    <w:p w:rsidR="003A77D2" w:rsidRPr="00D174D9" w:rsidRDefault="003A77D2" w:rsidP="003A77D2"/>
    <w:p w:rsidR="003A77D2" w:rsidRPr="00D174D9" w:rsidRDefault="003A77D2" w:rsidP="003A77D2">
      <w:r w:rsidRPr="00D174D9">
        <w:rPr>
          <w:rFonts w:hint="eastAsia"/>
        </w:rPr>
        <w:t>我想说的是，我们必须将“女性应当闭口不言”这一要求放在具体的语境中来理解。正如“说方言的人应当在会中闭口”（林前</w:t>
      </w:r>
      <w:r w:rsidRPr="00D174D9">
        <w:t>14:28</w:t>
      </w:r>
      <w:r w:rsidRPr="00D174D9">
        <w:t>）</w:t>
      </w:r>
      <w:r w:rsidRPr="00D174D9">
        <w:rPr>
          <w:rFonts w:hint="eastAsia"/>
        </w:rPr>
        <w:t>这一要求，并不是禁止这种人在教会中说任何的话；</w:t>
      </w:r>
      <w:r w:rsidRPr="00D174D9">
        <w:rPr>
          <w:rFonts w:ascii="宋体" w:hAnsi="宋体"/>
        </w:rPr>
        <w:t>“女性应当闭口不言”</w:t>
      </w:r>
      <w:r w:rsidRPr="00D174D9">
        <w:rPr>
          <w:rFonts w:hint="eastAsia"/>
        </w:rPr>
        <w:t>的</w:t>
      </w:r>
      <w:r w:rsidRPr="00D174D9">
        <w:t>要求</w:t>
      </w:r>
      <w:r w:rsidRPr="00D174D9">
        <w:rPr>
          <w:rFonts w:hint="eastAsia"/>
        </w:rPr>
        <w:t>，</w:t>
      </w:r>
      <w:r w:rsidRPr="00D174D9">
        <w:t>也并未设想在任何</w:t>
      </w:r>
      <w:r w:rsidRPr="00D174D9">
        <w:rPr>
          <w:rFonts w:hint="eastAsia"/>
        </w:rPr>
        <w:t>情况下女性都不能讲话。在评估预言的时候，女性必须明确地闭口不言。这样的评价会涉及到教导和（对其他先知）行使权柄，这两项活动是保罗始终禁止女性参加的。如果女性有关于评估预言的问题，她们就应当在家里问自己的丈夫，以免违背了顺服的原则而羞辱了自己（</w:t>
      </w:r>
      <w:proofErr w:type="gramStart"/>
      <w:r w:rsidRPr="00D174D9">
        <w:rPr>
          <w:rFonts w:hint="eastAsia"/>
        </w:rPr>
        <w:t>参林前</w:t>
      </w:r>
      <w:proofErr w:type="gramEnd"/>
      <w:r w:rsidRPr="00D174D9">
        <w:t>14:34-35</w:t>
      </w:r>
      <w:r w:rsidRPr="00D174D9">
        <w:t>）。</w:t>
      </w:r>
    </w:p>
    <w:p w:rsidR="003A77D2" w:rsidRPr="00D174D9" w:rsidRDefault="003A77D2" w:rsidP="003A77D2"/>
    <w:p w:rsidR="003A77D2" w:rsidRPr="00D174D9" w:rsidRDefault="003A77D2" w:rsidP="003A77D2">
      <w:r w:rsidRPr="00D174D9">
        <w:rPr>
          <w:rFonts w:hint="eastAsia"/>
        </w:rPr>
        <w:t>这在今日的实际意义，要求我们必须有智慧，有处境意识。至少可以说，那些在任何情况下都不准女性讲话的教会，违反了圣经的教导。作为一名牧师，我很乐意让姐妹在崇拜中分享一段见证，念诵一段宣召，或是献上一段代祷。根据聚会规模的大小和正式程度，我们的教会更倾向在非正式的聚会中使用姐妹（以及尚未被按立的弟兄）事奉。我也试图去留意，在某个聚会中，不同的要素是如何在崇拜中发挥作用的。</w:t>
      </w:r>
    </w:p>
    <w:p w:rsidR="003A77D2" w:rsidRPr="00D174D9" w:rsidRDefault="003A77D2" w:rsidP="003A77D2"/>
    <w:p w:rsidR="003A77D2" w:rsidRPr="00D174D9" w:rsidRDefault="003A77D2" w:rsidP="003A77D2">
      <w:r w:rsidRPr="00D174D9">
        <w:rPr>
          <w:rFonts w:hint="eastAsia"/>
        </w:rPr>
        <w:t>在我们教会的传统里，通常会由众牧师中的一位来做一段很长的代祷。在我的处境中，让某位姐妹来做这段</w:t>
      </w:r>
      <w:proofErr w:type="gramStart"/>
      <w:r w:rsidRPr="00D174D9">
        <w:rPr>
          <w:rFonts w:hint="eastAsia"/>
        </w:rPr>
        <w:t>代祷就不</w:t>
      </w:r>
      <w:proofErr w:type="gramEnd"/>
      <w:r w:rsidRPr="00D174D9">
        <w:rPr>
          <w:rFonts w:hint="eastAsia"/>
        </w:rPr>
        <w:t>太合适。但我曾让姐妹在特定的处境中，以非正式的方式在崇拜中祷告。一般来说，我相信绝大多数主张互补主义的牧师都能更好地寻求到圣经允许的方式，在教会聚会中使用女性来祷告，讲述一段有关神恩典的故事，或是分享一段劝勉的话。</w:t>
      </w:r>
    </w:p>
    <w:p w:rsidR="003A77D2" w:rsidRPr="00D174D9" w:rsidRDefault="003A77D2" w:rsidP="003A77D2"/>
    <w:p w:rsidR="003A77D2" w:rsidRPr="00D174D9" w:rsidRDefault="003A77D2" w:rsidP="003A77D2">
      <w:pPr>
        <w:pStyle w:val="a9"/>
      </w:pPr>
      <w:r w:rsidRPr="00D174D9">
        <w:rPr>
          <w:rFonts w:hint="eastAsia"/>
        </w:rPr>
        <w:t>作者简介：</w:t>
      </w:r>
    </w:p>
    <w:p w:rsidR="003A77D2" w:rsidRPr="00D174D9" w:rsidRDefault="003A77D2" w:rsidP="003A77D2"/>
    <w:p w:rsidR="003A77D2" w:rsidRPr="00D174D9" w:rsidRDefault="003A77D2" w:rsidP="003A77D2">
      <w:pPr>
        <w:pStyle w:val="aa"/>
      </w:pPr>
      <w:r w:rsidRPr="00D174D9">
        <w:rPr>
          <w:rFonts w:hint="eastAsia"/>
        </w:rPr>
        <w:lastRenderedPageBreak/>
        <w:t>凯文·德扬（</w:t>
      </w:r>
      <w:r w:rsidRPr="00D174D9">
        <w:rPr>
          <w:rFonts w:hint="eastAsia"/>
        </w:rPr>
        <w:t xml:space="preserve">Kevin </w:t>
      </w:r>
      <w:proofErr w:type="spellStart"/>
      <w:r w:rsidRPr="00D174D9">
        <w:rPr>
          <w:rFonts w:hint="eastAsia"/>
        </w:rPr>
        <w:t>DeYoung</w:t>
      </w:r>
      <w:proofErr w:type="spellEnd"/>
      <w:r w:rsidRPr="00D174D9">
        <w:rPr>
          <w:rFonts w:hint="eastAsia"/>
        </w:rPr>
        <w:t>）是</w:t>
      </w:r>
      <w:proofErr w:type="gramStart"/>
      <w:r w:rsidRPr="00D174D9">
        <w:rPr>
          <w:rFonts w:hint="eastAsia"/>
        </w:rPr>
        <w:t>莱</w:t>
      </w:r>
      <w:proofErr w:type="gramEnd"/>
      <w:r w:rsidRPr="00D174D9">
        <w:rPr>
          <w:rFonts w:hint="eastAsia"/>
        </w:rPr>
        <w:t>斯特大学博士，北卡罗来纳州马修斯基督圣约教会的主任牧师，福音联盟的董事会主席，改革宗神学院夏洛特校区的系统神学助理教授。凯文和他的妻子特丽莎育有九个孩子。</w:t>
      </w:r>
    </w:p>
    <w:p w:rsidR="00F61E1D" w:rsidRDefault="00F61E1D">
      <w:bookmarkStart w:id="1" w:name="_GoBack"/>
      <w:bookmarkEnd w:id="1"/>
    </w:p>
    <w:sectPr w:rsidR="00F61E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D4" w:rsidRDefault="002D1DD4" w:rsidP="003A77D2">
      <w:r>
        <w:separator/>
      </w:r>
    </w:p>
  </w:endnote>
  <w:endnote w:type="continuationSeparator" w:id="0">
    <w:p w:rsidR="002D1DD4" w:rsidRDefault="002D1DD4" w:rsidP="003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D4" w:rsidRDefault="002D1DD4" w:rsidP="003A77D2">
      <w:r>
        <w:separator/>
      </w:r>
    </w:p>
  </w:footnote>
  <w:footnote w:type="continuationSeparator" w:id="0">
    <w:p w:rsidR="002D1DD4" w:rsidRDefault="002D1DD4" w:rsidP="003A77D2">
      <w:r>
        <w:continuationSeparator/>
      </w:r>
    </w:p>
  </w:footnote>
  <w:footnote w:id="1">
    <w:p w:rsidR="003A77D2" w:rsidRPr="00F03E04" w:rsidRDefault="003A77D2" w:rsidP="003A77D2">
      <w:pPr>
        <w:pStyle w:val="a5"/>
        <w:rPr>
          <w:rFonts w:hint="eastAsia"/>
        </w:rPr>
      </w:pPr>
      <w:r>
        <w:rPr>
          <w:rStyle w:val="a6"/>
        </w:rPr>
        <w:footnoteRef/>
      </w:r>
      <w:r>
        <w:t xml:space="preserve"> </w:t>
      </w:r>
      <w:r w:rsidRPr="00C63EEF">
        <w:rPr>
          <w:rFonts w:ascii="Times New Roman" w:hAnsi="Times New Roman" w:hint="eastAsia"/>
        </w:rPr>
        <w:t>本文节选自凯文·德扬（</w:t>
      </w:r>
      <w:r w:rsidRPr="00C63EEF">
        <w:rPr>
          <w:rFonts w:ascii="Times New Roman" w:hAnsi="Times New Roman" w:hint="eastAsia"/>
        </w:rPr>
        <w:t xml:space="preserve">Kevin </w:t>
      </w:r>
      <w:proofErr w:type="spellStart"/>
      <w:r w:rsidRPr="00C63EEF">
        <w:rPr>
          <w:rFonts w:ascii="Times New Roman" w:hAnsi="Times New Roman" w:hint="eastAsia"/>
        </w:rPr>
        <w:t>DeYoung</w:t>
      </w:r>
      <w:proofErr w:type="spellEnd"/>
      <w:r w:rsidRPr="00C63EEF">
        <w:rPr>
          <w:rFonts w:ascii="Times New Roman" w:hAnsi="Times New Roman" w:hint="eastAsia"/>
        </w:rPr>
        <w:t>）所著《教会中的男女角色》第四章。凯文·德扬，《教会中的男女角色》，贾</w:t>
      </w:r>
      <w:proofErr w:type="gramStart"/>
      <w:r w:rsidRPr="00C63EEF">
        <w:rPr>
          <w:rFonts w:ascii="Times New Roman" w:hAnsi="Times New Roman" w:hint="eastAsia"/>
        </w:rPr>
        <w:t>思茗译</w:t>
      </w:r>
      <w:proofErr w:type="gramEnd"/>
      <w:r w:rsidRPr="00C63EEF">
        <w:rPr>
          <w:rFonts w:ascii="Times New Roman" w:hAnsi="Times New Roman" w:hint="eastAsia"/>
        </w:rPr>
        <w:t>，</w:t>
      </w:r>
      <w:r w:rsidRPr="00C63EEF">
        <w:rPr>
          <w:rFonts w:ascii="Times New Roman" w:hAnsi="Times New Roman" w:hint="eastAsia"/>
        </w:rPr>
        <w:t>2023</w:t>
      </w:r>
      <w:r w:rsidRPr="00C63EEF">
        <w:rPr>
          <w:rFonts w:ascii="Times New Roman" w:hAnsi="Times New Roman" w:hint="eastAsia"/>
        </w:rPr>
        <w:t>年</w:t>
      </w:r>
      <w:r w:rsidRPr="00C63EEF">
        <w:rPr>
          <w:rFonts w:ascii="Times New Roman" w:hAnsi="Times New Roman" w:hint="eastAsia"/>
        </w:rPr>
        <w:t>3</w:t>
      </w:r>
      <w:r w:rsidRPr="00C63EEF">
        <w:rPr>
          <w:rFonts w:ascii="Times New Roman" w:hAnsi="Times New Roman" w:hint="eastAsia"/>
        </w:rPr>
        <w:t>月</w:t>
      </w:r>
      <w:r w:rsidRPr="00C63EEF">
        <w:rPr>
          <w:rFonts w:ascii="Times New Roman" w:hAnsi="Times New Roman" w:hint="eastAsia"/>
        </w:rPr>
        <w:t>1</w:t>
      </w:r>
      <w:r w:rsidRPr="00C63EEF">
        <w:rPr>
          <w:rFonts w:ascii="Times New Roman" w:hAnsi="Times New Roman"/>
        </w:rPr>
        <w:t>0</w:t>
      </w:r>
      <w:r w:rsidRPr="00C63EEF">
        <w:rPr>
          <w:rFonts w:ascii="Times New Roman" w:hAnsi="Times New Roman" w:hint="eastAsia"/>
        </w:rPr>
        <w:t>日存取，</w:t>
      </w:r>
      <w:r w:rsidRPr="008E527F">
        <w:rPr>
          <w:rFonts w:ascii="Times New Roman" w:hAnsi="Times New Roman"/>
        </w:rPr>
        <w:t>https://www.churchchina.org/wp-content/uploads/Men_and_Women_in_the_Church_CHS.pdf</w:t>
      </w:r>
      <w:r w:rsidRPr="00C63EEF">
        <w:rPr>
          <w:rFonts w:ascii="Times New Roman" w:hAnsi="Times New Roman" w:hint="eastAsia"/>
        </w:rPr>
        <w:t>。转载时略有编辑，文章名另拟。承蒙授权转载，特此致谢。——编者注</w:t>
      </w:r>
    </w:p>
  </w:footnote>
  <w:footnote w:id="2">
    <w:p w:rsidR="003A77D2" w:rsidRPr="00C63EEF" w:rsidRDefault="003A77D2" w:rsidP="003A77D2">
      <w:pPr>
        <w:pStyle w:val="a5"/>
        <w:rPr>
          <w:rFonts w:ascii="Times New Roman" w:hAnsi="Times New Roman"/>
        </w:rPr>
      </w:pPr>
      <w:r w:rsidRPr="00C63EEF">
        <w:rPr>
          <w:rStyle w:val="a6"/>
          <w:rFonts w:ascii="Times New Roman" w:hAnsi="Times New Roman"/>
        </w:rPr>
        <w:footnoteRef/>
      </w:r>
      <w:r w:rsidRPr="00C63EEF">
        <w:rPr>
          <w:rFonts w:ascii="Times New Roman" w:hAnsi="Times New Roman"/>
        </w:rPr>
        <w:t xml:space="preserve"> </w:t>
      </w:r>
      <w:r w:rsidRPr="00C63EEF">
        <w:rPr>
          <w:rFonts w:ascii="Times New Roman" w:hAnsi="Times New Roman" w:hint="eastAsia"/>
        </w:rPr>
        <w:t>由于在早期的一批手抄本中，第</w:t>
      </w:r>
      <w:r w:rsidRPr="00C63EEF">
        <w:rPr>
          <w:rFonts w:ascii="Times New Roman" w:hAnsi="Times New Roman"/>
        </w:rPr>
        <w:t>34</w:t>
      </w:r>
      <w:r w:rsidRPr="00C63EEF">
        <w:rPr>
          <w:rFonts w:ascii="Times New Roman" w:hAnsi="Times New Roman"/>
        </w:rPr>
        <w:softHyphen/>
      </w:r>
      <w:r w:rsidRPr="00C63EEF">
        <w:rPr>
          <w:rFonts w:ascii="Times New Roman" w:hAnsi="Times New Roman"/>
        </w:rPr>
        <w:softHyphen/>
        <w:t>–35</w:t>
      </w:r>
      <w:r w:rsidRPr="00C63EEF">
        <w:rPr>
          <w:rFonts w:ascii="Times New Roman" w:hAnsi="Times New Roman"/>
        </w:rPr>
        <w:t>节出现的位置并不统一，一些学者便认为这两节经文是其他人添加的</w:t>
      </w:r>
      <w:r w:rsidRPr="00C63EEF">
        <w:rPr>
          <w:rFonts w:ascii="Times New Roman" w:hAnsi="Times New Roman" w:hint="eastAsia"/>
        </w:rPr>
        <w:t>，</w:t>
      </w:r>
      <w:r w:rsidRPr="00C63EEF">
        <w:rPr>
          <w:rFonts w:ascii="Times New Roman" w:hAnsi="Times New Roman"/>
        </w:rPr>
        <w:t>但支持它们真实性的理由是很有力的。所有文本证据（</w:t>
      </w:r>
      <w:r w:rsidRPr="00C63EEF">
        <w:rPr>
          <w:rFonts w:ascii="Times New Roman" w:hAnsi="Times New Roman"/>
        </w:rPr>
        <w:t>textual witness</w:t>
      </w:r>
      <w:r w:rsidRPr="00C63EEF">
        <w:rPr>
          <w:rFonts w:ascii="Times New Roman" w:hAnsi="Times New Roman"/>
        </w:rPr>
        <w:t>）都包含有这两节经文，而最新的希腊文版新约也认为这一传统的文本极为可靠。参见</w:t>
      </w:r>
      <w:r w:rsidRPr="00C63EEF">
        <w:rPr>
          <w:rFonts w:ascii="Times New Roman" w:hAnsi="Times New Roman"/>
        </w:rPr>
        <w:t xml:space="preserve"> </w:t>
      </w:r>
      <w:proofErr w:type="spellStart"/>
      <w:r w:rsidRPr="00C63EEF">
        <w:rPr>
          <w:rFonts w:ascii="Times New Roman" w:hAnsi="Times New Roman"/>
        </w:rPr>
        <w:t>Ciampa</w:t>
      </w:r>
      <w:proofErr w:type="spellEnd"/>
      <w:r w:rsidRPr="00C63EEF">
        <w:rPr>
          <w:rFonts w:ascii="Times New Roman" w:hAnsi="Times New Roman"/>
        </w:rPr>
        <w:t xml:space="preserve"> and </w:t>
      </w:r>
      <w:proofErr w:type="spellStart"/>
      <w:r w:rsidRPr="00C63EEF">
        <w:rPr>
          <w:rFonts w:ascii="Times New Roman" w:hAnsi="Times New Roman"/>
        </w:rPr>
        <w:t>Rosner</w:t>
      </w:r>
      <w:proofErr w:type="spellEnd"/>
      <w:r w:rsidRPr="00C63EEF">
        <w:rPr>
          <w:rFonts w:ascii="Times New Roman" w:hAnsi="Times New Roman"/>
        </w:rPr>
        <w:t>,</w:t>
      </w:r>
      <w:r w:rsidRPr="00C63EEF">
        <w:rPr>
          <w:rFonts w:ascii="Times New Roman" w:hAnsi="Times New Roman"/>
          <w:i/>
          <w:iCs/>
        </w:rPr>
        <w:t xml:space="preserve"> First Epistle to the Corinthians</w:t>
      </w:r>
      <w:r w:rsidRPr="00C63EEF">
        <w:rPr>
          <w:rFonts w:ascii="Times New Roman" w:hAnsi="Times New Roman"/>
        </w:rPr>
        <w:t>, 1148–50</w:t>
      </w:r>
      <w:r w:rsidRPr="00C63EEF">
        <w:rPr>
          <w:rFonts w:ascii="Times New Roman" w:hAnsi="Times New Roman" w:hint="eastAsia"/>
        </w:rPr>
        <w:t>。</w:t>
      </w:r>
    </w:p>
  </w:footnote>
  <w:footnote w:id="3">
    <w:p w:rsidR="003A77D2" w:rsidRPr="00C63EEF" w:rsidRDefault="003A77D2" w:rsidP="003A77D2">
      <w:pPr>
        <w:pStyle w:val="a5"/>
        <w:rPr>
          <w:rFonts w:ascii="Times New Roman" w:hAnsi="Times New Roman"/>
        </w:rPr>
      </w:pPr>
      <w:r w:rsidRPr="00C63EEF">
        <w:rPr>
          <w:rStyle w:val="a6"/>
          <w:rFonts w:ascii="Times New Roman" w:hAnsi="Times New Roman"/>
        </w:rPr>
        <w:footnoteRef/>
      </w:r>
      <w:r w:rsidRPr="00C63EEF">
        <w:rPr>
          <w:rFonts w:ascii="Times New Roman" w:hAnsi="Times New Roman"/>
        </w:rPr>
        <w:t xml:space="preserve"> Cf. </w:t>
      </w:r>
      <w:proofErr w:type="spellStart"/>
      <w:r w:rsidRPr="00C63EEF">
        <w:rPr>
          <w:rFonts w:ascii="Times New Roman" w:hAnsi="Times New Roman"/>
        </w:rPr>
        <w:t>Thiselton</w:t>
      </w:r>
      <w:proofErr w:type="spellEnd"/>
      <w:r w:rsidRPr="00C63EEF">
        <w:rPr>
          <w:rFonts w:ascii="Times New Roman" w:hAnsi="Times New Roman"/>
        </w:rPr>
        <w:t xml:space="preserve">, </w:t>
      </w:r>
      <w:r w:rsidRPr="00C63EEF">
        <w:rPr>
          <w:rFonts w:ascii="Times New Roman" w:hAnsi="Times New Roman"/>
          <w:i/>
          <w:iCs/>
        </w:rPr>
        <w:t>First Epistle to the Corinthians</w:t>
      </w:r>
      <w:r w:rsidRPr="00C63EEF">
        <w:rPr>
          <w:rFonts w:ascii="Times New Roman" w:hAnsi="Times New Roman"/>
        </w:rPr>
        <w:t>, 1156, 1158.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bordersDoNotSurroundHeader/>
  <w:bordersDoNotSurroundFooter/>
  <w:proofState w:spelling="clean" w:grammar="clean"/>
  <w:documentProtection w:edit="readOnly" w:enforcement="1" w:cryptProviderType="rsaFull" w:cryptAlgorithmClass="hash" w:cryptAlgorithmType="typeAny" w:cryptAlgorithmSid="4" w:cryptSpinCount="100000" w:hash="SidDOk8zdXWLR8nqcLbxlJWWpFM=" w:salt="RokglZNuPusA9EgDB4LP4A=="/>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9A"/>
    <w:rsid w:val="00073716"/>
    <w:rsid w:val="00107FCD"/>
    <w:rsid w:val="00176FFD"/>
    <w:rsid w:val="001C6617"/>
    <w:rsid w:val="001F6038"/>
    <w:rsid w:val="00224C68"/>
    <w:rsid w:val="002D1DD4"/>
    <w:rsid w:val="002F5F25"/>
    <w:rsid w:val="003A77D2"/>
    <w:rsid w:val="003E26C6"/>
    <w:rsid w:val="00433997"/>
    <w:rsid w:val="00486671"/>
    <w:rsid w:val="004F1DD7"/>
    <w:rsid w:val="005572EA"/>
    <w:rsid w:val="005906C5"/>
    <w:rsid w:val="005F22C4"/>
    <w:rsid w:val="00742C79"/>
    <w:rsid w:val="007835E3"/>
    <w:rsid w:val="007A48DE"/>
    <w:rsid w:val="00892B75"/>
    <w:rsid w:val="008B3FD9"/>
    <w:rsid w:val="00900F4C"/>
    <w:rsid w:val="00921319"/>
    <w:rsid w:val="00A366EE"/>
    <w:rsid w:val="00AC2F3A"/>
    <w:rsid w:val="00B63ECD"/>
    <w:rsid w:val="00B764F5"/>
    <w:rsid w:val="00B85DD3"/>
    <w:rsid w:val="00C241F5"/>
    <w:rsid w:val="00C746AE"/>
    <w:rsid w:val="00CC0353"/>
    <w:rsid w:val="00D5189A"/>
    <w:rsid w:val="00D9066A"/>
    <w:rsid w:val="00D959CA"/>
    <w:rsid w:val="00D95EA3"/>
    <w:rsid w:val="00DE16F1"/>
    <w:rsid w:val="00EC4C9B"/>
    <w:rsid w:val="00ED0E41"/>
    <w:rsid w:val="00F3081D"/>
    <w:rsid w:val="00F61E1D"/>
    <w:rsid w:val="00F74C34"/>
    <w:rsid w:val="00F9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D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A77D2"/>
    <w:pPr>
      <w:keepNext/>
      <w:widowControl/>
      <w:jc w:val="left"/>
      <w:outlineLvl w:val="0"/>
    </w:pPr>
    <w:rPr>
      <w:b/>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7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77D2"/>
    <w:rPr>
      <w:sz w:val="18"/>
      <w:szCs w:val="18"/>
    </w:rPr>
  </w:style>
  <w:style w:type="paragraph" w:styleId="a4">
    <w:name w:val="footer"/>
    <w:basedOn w:val="a"/>
    <w:link w:val="Char0"/>
    <w:uiPriority w:val="99"/>
    <w:unhideWhenUsed/>
    <w:rsid w:val="003A77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77D2"/>
    <w:rPr>
      <w:sz w:val="18"/>
      <w:szCs w:val="18"/>
    </w:rPr>
  </w:style>
  <w:style w:type="character" w:customStyle="1" w:styleId="1Char">
    <w:name w:val="标题 1 Char"/>
    <w:basedOn w:val="a0"/>
    <w:uiPriority w:val="9"/>
    <w:rsid w:val="003A77D2"/>
    <w:rPr>
      <w:rFonts w:ascii="Times New Roman" w:eastAsia="宋体" w:hAnsi="Times New Roman" w:cs="Times New Roman"/>
      <w:b/>
      <w:bCs/>
      <w:kern w:val="44"/>
      <w:sz w:val="44"/>
      <w:szCs w:val="44"/>
    </w:rPr>
  </w:style>
  <w:style w:type="paragraph" w:styleId="a5">
    <w:name w:val="footnote text"/>
    <w:link w:val="11"/>
    <w:uiPriority w:val="99"/>
    <w:qFormat/>
    <w:rsid w:val="003A77D2"/>
    <w:pPr>
      <w:widowControl w:val="0"/>
      <w:snapToGrid w:val="0"/>
    </w:pPr>
    <w:rPr>
      <w:rFonts w:ascii="Calibri" w:eastAsia="宋体" w:hAnsi="Calibri" w:cs="Arial"/>
      <w:sz w:val="18"/>
      <w:szCs w:val="24"/>
    </w:rPr>
  </w:style>
  <w:style w:type="character" w:customStyle="1" w:styleId="Char1">
    <w:name w:val="脚注文本 Char"/>
    <w:basedOn w:val="a0"/>
    <w:uiPriority w:val="99"/>
    <w:semiHidden/>
    <w:rsid w:val="003A77D2"/>
    <w:rPr>
      <w:rFonts w:ascii="Times New Roman" w:eastAsia="宋体" w:hAnsi="Times New Roman" w:cs="Times New Roman"/>
      <w:sz w:val="18"/>
      <w:szCs w:val="18"/>
    </w:rPr>
  </w:style>
  <w:style w:type="character" w:customStyle="1" w:styleId="11">
    <w:name w:val="脚注文本 字符1"/>
    <w:link w:val="a5"/>
    <w:uiPriority w:val="99"/>
    <w:qFormat/>
    <w:rsid w:val="003A77D2"/>
    <w:rPr>
      <w:rFonts w:ascii="Calibri" w:eastAsia="宋体" w:hAnsi="Calibri" w:cs="Arial"/>
      <w:sz w:val="18"/>
      <w:szCs w:val="24"/>
    </w:rPr>
  </w:style>
  <w:style w:type="character" w:styleId="a6">
    <w:name w:val="footnote reference"/>
    <w:uiPriority w:val="99"/>
    <w:qFormat/>
    <w:rsid w:val="003A77D2"/>
    <w:rPr>
      <w:vertAlign w:val="superscript"/>
    </w:rPr>
  </w:style>
  <w:style w:type="paragraph" w:customStyle="1" w:styleId="a7">
    <w:name w:val="引文"/>
    <w:link w:val="a8"/>
    <w:qFormat/>
    <w:rsid w:val="003A77D2"/>
    <w:pPr>
      <w:jc w:val="both"/>
    </w:pPr>
    <w:rPr>
      <w:rFonts w:ascii="Times New Roman" w:eastAsia="楷体" w:hAnsi="Times New Roman" w:cs="Times New Roman"/>
    </w:rPr>
  </w:style>
  <w:style w:type="character" w:customStyle="1" w:styleId="a8">
    <w:name w:val="引文 字符"/>
    <w:link w:val="a7"/>
    <w:qFormat/>
    <w:locked/>
    <w:rsid w:val="003A77D2"/>
    <w:rPr>
      <w:rFonts w:ascii="Times New Roman" w:eastAsia="楷体" w:hAnsi="Times New Roman" w:cs="Times New Roman"/>
    </w:rPr>
  </w:style>
  <w:style w:type="paragraph" w:customStyle="1" w:styleId="a9">
    <w:name w:val="“作者简介”"/>
    <w:basedOn w:val="a"/>
    <w:next w:val="aa"/>
    <w:qFormat/>
    <w:rsid w:val="003A77D2"/>
    <w:pPr>
      <w:widowControl/>
    </w:pPr>
    <w:rPr>
      <w:rFonts w:eastAsia="仿宋"/>
      <w:b/>
      <w:szCs w:val="22"/>
    </w:rPr>
  </w:style>
  <w:style w:type="paragraph" w:customStyle="1" w:styleId="aa">
    <w:name w:val="作者简介内容"/>
    <w:basedOn w:val="a"/>
    <w:next w:val="a"/>
    <w:qFormat/>
    <w:rsid w:val="003A77D2"/>
    <w:pPr>
      <w:widowControl/>
    </w:pPr>
    <w:rPr>
      <w:rFonts w:eastAsia="仿宋"/>
      <w:szCs w:val="22"/>
    </w:rPr>
  </w:style>
  <w:style w:type="paragraph" w:customStyle="1" w:styleId="ab">
    <w:name w:val="作者栏"/>
    <w:next w:val="a"/>
    <w:qFormat/>
    <w:rsid w:val="003A77D2"/>
    <w:pPr>
      <w:jc w:val="center"/>
    </w:pPr>
    <w:rPr>
      <w:rFonts w:ascii="宋体" w:eastAsia="宋体" w:hAnsi="Times New Roman" w:cs="Times New Roman"/>
      <w:b/>
      <w:sz w:val="24"/>
    </w:rPr>
  </w:style>
  <w:style w:type="character" w:customStyle="1" w:styleId="10">
    <w:name w:val="标题 1 字符"/>
    <w:link w:val="1"/>
    <w:uiPriority w:val="9"/>
    <w:rsid w:val="003A77D2"/>
    <w:rPr>
      <w:rFonts w:ascii="Times New Roman" w:eastAsia="宋体" w:hAnsi="Times New Roman" w:cs="Times New Roman"/>
      <w:b/>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D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A77D2"/>
    <w:pPr>
      <w:keepNext/>
      <w:widowControl/>
      <w:jc w:val="left"/>
      <w:outlineLvl w:val="0"/>
    </w:pPr>
    <w:rPr>
      <w:b/>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7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A77D2"/>
    <w:rPr>
      <w:sz w:val="18"/>
      <w:szCs w:val="18"/>
    </w:rPr>
  </w:style>
  <w:style w:type="paragraph" w:styleId="a4">
    <w:name w:val="footer"/>
    <w:basedOn w:val="a"/>
    <w:link w:val="Char0"/>
    <w:uiPriority w:val="99"/>
    <w:unhideWhenUsed/>
    <w:rsid w:val="003A77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A77D2"/>
    <w:rPr>
      <w:sz w:val="18"/>
      <w:szCs w:val="18"/>
    </w:rPr>
  </w:style>
  <w:style w:type="character" w:customStyle="1" w:styleId="1Char">
    <w:name w:val="标题 1 Char"/>
    <w:basedOn w:val="a0"/>
    <w:uiPriority w:val="9"/>
    <w:rsid w:val="003A77D2"/>
    <w:rPr>
      <w:rFonts w:ascii="Times New Roman" w:eastAsia="宋体" w:hAnsi="Times New Roman" w:cs="Times New Roman"/>
      <w:b/>
      <w:bCs/>
      <w:kern w:val="44"/>
      <w:sz w:val="44"/>
      <w:szCs w:val="44"/>
    </w:rPr>
  </w:style>
  <w:style w:type="paragraph" w:styleId="a5">
    <w:name w:val="footnote text"/>
    <w:link w:val="11"/>
    <w:uiPriority w:val="99"/>
    <w:qFormat/>
    <w:rsid w:val="003A77D2"/>
    <w:pPr>
      <w:widowControl w:val="0"/>
      <w:snapToGrid w:val="0"/>
    </w:pPr>
    <w:rPr>
      <w:rFonts w:ascii="Calibri" w:eastAsia="宋体" w:hAnsi="Calibri" w:cs="Arial"/>
      <w:sz w:val="18"/>
      <w:szCs w:val="24"/>
    </w:rPr>
  </w:style>
  <w:style w:type="character" w:customStyle="1" w:styleId="Char1">
    <w:name w:val="脚注文本 Char"/>
    <w:basedOn w:val="a0"/>
    <w:uiPriority w:val="99"/>
    <w:semiHidden/>
    <w:rsid w:val="003A77D2"/>
    <w:rPr>
      <w:rFonts w:ascii="Times New Roman" w:eastAsia="宋体" w:hAnsi="Times New Roman" w:cs="Times New Roman"/>
      <w:sz w:val="18"/>
      <w:szCs w:val="18"/>
    </w:rPr>
  </w:style>
  <w:style w:type="character" w:customStyle="1" w:styleId="11">
    <w:name w:val="脚注文本 字符1"/>
    <w:link w:val="a5"/>
    <w:uiPriority w:val="99"/>
    <w:qFormat/>
    <w:rsid w:val="003A77D2"/>
    <w:rPr>
      <w:rFonts w:ascii="Calibri" w:eastAsia="宋体" w:hAnsi="Calibri" w:cs="Arial"/>
      <w:sz w:val="18"/>
      <w:szCs w:val="24"/>
    </w:rPr>
  </w:style>
  <w:style w:type="character" w:styleId="a6">
    <w:name w:val="footnote reference"/>
    <w:uiPriority w:val="99"/>
    <w:qFormat/>
    <w:rsid w:val="003A77D2"/>
    <w:rPr>
      <w:vertAlign w:val="superscript"/>
    </w:rPr>
  </w:style>
  <w:style w:type="paragraph" w:customStyle="1" w:styleId="a7">
    <w:name w:val="引文"/>
    <w:link w:val="a8"/>
    <w:qFormat/>
    <w:rsid w:val="003A77D2"/>
    <w:pPr>
      <w:jc w:val="both"/>
    </w:pPr>
    <w:rPr>
      <w:rFonts w:ascii="Times New Roman" w:eastAsia="楷体" w:hAnsi="Times New Roman" w:cs="Times New Roman"/>
    </w:rPr>
  </w:style>
  <w:style w:type="character" w:customStyle="1" w:styleId="a8">
    <w:name w:val="引文 字符"/>
    <w:link w:val="a7"/>
    <w:qFormat/>
    <w:locked/>
    <w:rsid w:val="003A77D2"/>
    <w:rPr>
      <w:rFonts w:ascii="Times New Roman" w:eastAsia="楷体" w:hAnsi="Times New Roman" w:cs="Times New Roman"/>
    </w:rPr>
  </w:style>
  <w:style w:type="paragraph" w:customStyle="1" w:styleId="a9">
    <w:name w:val="“作者简介”"/>
    <w:basedOn w:val="a"/>
    <w:next w:val="aa"/>
    <w:qFormat/>
    <w:rsid w:val="003A77D2"/>
    <w:pPr>
      <w:widowControl/>
    </w:pPr>
    <w:rPr>
      <w:rFonts w:eastAsia="仿宋"/>
      <w:b/>
      <w:szCs w:val="22"/>
    </w:rPr>
  </w:style>
  <w:style w:type="paragraph" w:customStyle="1" w:styleId="aa">
    <w:name w:val="作者简介内容"/>
    <w:basedOn w:val="a"/>
    <w:next w:val="a"/>
    <w:qFormat/>
    <w:rsid w:val="003A77D2"/>
    <w:pPr>
      <w:widowControl/>
    </w:pPr>
    <w:rPr>
      <w:rFonts w:eastAsia="仿宋"/>
      <w:szCs w:val="22"/>
    </w:rPr>
  </w:style>
  <w:style w:type="paragraph" w:customStyle="1" w:styleId="ab">
    <w:name w:val="作者栏"/>
    <w:next w:val="a"/>
    <w:qFormat/>
    <w:rsid w:val="003A77D2"/>
    <w:pPr>
      <w:jc w:val="center"/>
    </w:pPr>
    <w:rPr>
      <w:rFonts w:ascii="宋体" w:eastAsia="宋体" w:hAnsi="Times New Roman" w:cs="Times New Roman"/>
      <w:b/>
      <w:sz w:val="24"/>
    </w:rPr>
  </w:style>
  <w:style w:type="character" w:customStyle="1" w:styleId="10">
    <w:name w:val="标题 1 字符"/>
    <w:link w:val="1"/>
    <w:uiPriority w:val="9"/>
    <w:rsid w:val="003A77D2"/>
    <w:rPr>
      <w:rFonts w:ascii="Times New Roman" w:eastAsia="宋体" w:hAnsi="Times New Roman" w:cs="Times New Roman"/>
      <w:b/>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2121</Characters>
  <Application>Microsoft Office Word</Application>
  <DocSecurity>8</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2023-03-30T02:26:00Z</dcterms:created>
  <dcterms:modified xsi:type="dcterms:W3CDTF">2023-03-30T02:26:00Z</dcterms:modified>
</cp:coreProperties>
</file>